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Seminarium magisterskie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(1</w:t>
      </w:r>
      <w:r>
        <w:rPr>
          <w:rFonts w:ascii="Times New Roman" w:hAnsi="Times New Roman" w:cs="Times New Roman"/>
          <w:b/>
          <w:sz w:val="36"/>
          <w:szCs w:val="36"/>
        </w:rPr>
        <w:t>-2</w:t>
      </w:r>
      <w:r w:rsidRPr="00903FEC">
        <w:rPr>
          <w:rFonts w:ascii="Times New Roman" w:hAnsi="Times New Roman" w:cs="Times New Roman"/>
          <w:b/>
          <w:sz w:val="36"/>
          <w:szCs w:val="36"/>
        </w:rPr>
        <w:t xml:space="preserve"> MSU)</w:t>
      </w:r>
    </w:p>
    <w:p w:rsidR="008928B0" w:rsidRPr="00903FEC" w:rsidRDefault="0096194D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zw. d</w:t>
      </w:r>
      <w:r w:rsidR="008928B0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486911">
        <w:rPr>
          <w:rFonts w:ascii="Times New Roman" w:hAnsi="Times New Roman" w:cs="Times New Roman"/>
          <w:sz w:val="24"/>
          <w:szCs w:val="24"/>
        </w:rPr>
        <w:t xml:space="preserve">hab. </w:t>
      </w:r>
      <w:r w:rsidR="00EC01AA">
        <w:rPr>
          <w:rFonts w:ascii="Times New Roman" w:hAnsi="Times New Roman" w:cs="Times New Roman"/>
          <w:sz w:val="24"/>
          <w:szCs w:val="24"/>
        </w:rPr>
        <w:t>Andrzej Kowalski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godzin</w:t>
      </w:r>
      <w:r w:rsidR="0058132F">
        <w:rPr>
          <w:rFonts w:ascii="Times New Roman" w:hAnsi="Times New Roman" w:cs="Times New Roman"/>
          <w:sz w:val="24"/>
          <w:szCs w:val="24"/>
        </w:rPr>
        <w:t xml:space="preserve">, 4 semestry 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Pr="00744677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8928B0" w:rsidRDefault="00AF1578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praca zaliczeniowa (</w:t>
      </w:r>
      <w:r w:rsidR="008928B0">
        <w:rPr>
          <w:rFonts w:ascii="Times New Roman" w:hAnsi="Times New Roman" w:cs="Times New Roman"/>
          <w:sz w:val="24"/>
          <w:szCs w:val="24"/>
        </w:rPr>
        <w:t>rozdział, praca magisterska) spełniająca kryteria metodologiczne, merytoryczne, stylistyczne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114C5C" w:rsidRPr="001E4693" w:rsidTr="00F44845">
        <w:tc>
          <w:tcPr>
            <w:tcW w:w="1801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114C5C" w:rsidRPr="001E4693" w:rsidRDefault="00114C5C" w:rsidP="0048691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 pisemna  semestralna ( rozdział)</w:t>
            </w:r>
          </w:p>
        </w:tc>
        <w:tc>
          <w:tcPr>
            <w:tcW w:w="1739" w:type="dxa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pisemna końcowa (praca magisterska)</w:t>
            </w:r>
          </w:p>
        </w:tc>
      </w:tr>
      <w:tr w:rsidR="00114C5C" w:rsidRPr="001E4693" w:rsidTr="00F44845">
        <w:tc>
          <w:tcPr>
            <w:tcW w:w="5302" w:type="dxa"/>
            <w:gridSpan w:val="3"/>
            <w:vAlign w:val="center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114C5C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K_W08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K_W10</w:t>
            </w:r>
          </w:p>
        </w:tc>
        <w:tc>
          <w:tcPr>
            <w:tcW w:w="1762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5302" w:type="dxa"/>
            <w:gridSpan w:val="3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14C5C" w:rsidRPr="001E4693" w:rsidTr="00F44845">
        <w:tc>
          <w:tcPr>
            <w:tcW w:w="1801" w:type="dxa"/>
          </w:tcPr>
          <w:p w:rsidR="00114C5C" w:rsidRPr="001E4693" w:rsidRDefault="00114C5C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 w:rsidR="00D8286E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114C5C" w:rsidRPr="001E4693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8286E" w:rsidRPr="001E4693" w:rsidTr="00F44845">
        <w:tc>
          <w:tcPr>
            <w:tcW w:w="1801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D8286E" w:rsidRDefault="00D8286E" w:rsidP="0048691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8928B0" w:rsidRPr="0096194D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Przygotowanie do napisania pracy magisterskiej, pogłębienie wiedzy specjalistycznej z wybranej przez seminarzystę dziedziny, doskonalenie umiejętności prowadzenia badań etnologicznych.</w:t>
      </w: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Praca nad sprecyzowaniem tematu rozprawy magisterskiej; zdobywanie umiejętności wyszukiwania, gromadzenia i krytyki źródeł oraz materiałów naukowych; opracowanie planu rozprawy; wybór właściwej metodologii badawczej; określenie kategorii źródeł przydatnych w pracy i sposobów ich pozyskania; prezentacja wyników samodzielnych badań; dyskusja nad opracowywanymi przez seminarzystów fragmentami dysertacji.</w:t>
      </w:r>
    </w:p>
    <w:p w:rsidR="008928B0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Pr="00903FEC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0" w:rsidRDefault="008928B0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8B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Literatura wykorzystywana na zajęciach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Buchowski M., Burszta W.J., </w:t>
      </w:r>
      <w:r w:rsidRPr="0022227C">
        <w:rPr>
          <w:i/>
        </w:rPr>
        <w:t>O założeniach interpretacji antropologicznej</w:t>
      </w:r>
      <w:r>
        <w:t xml:space="preserve">, Warszawa 1992;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Hammersley</w:t>
      </w:r>
      <w:proofErr w:type="spellEnd"/>
      <w:r>
        <w:t xml:space="preserve"> M., Atkinson P</w:t>
      </w:r>
      <w:r w:rsidRPr="0022227C">
        <w:rPr>
          <w:i/>
        </w:rPr>
        <w:t>., Metody badań terenowych</w:t>
      </w:r>
      <w:r>
        <w:t>, Poznań 1995;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Eriksen T. H., </w:t>
      </w:r>
      <w:r w:rsidRPr="0022227C">
        <w:rPr>
          <w:i/>
        </w:rPr>
        <w:t>Małe miejsca, wielkie sprawy. Wprowadzenie do antropologii społecznej i kulturowej</w:t>
      </w:r>
      <w:r>
        <w:t>, przeł. J. Wołyńska, Warszawa, 2009;</w:t>
      </w:r>
    </w:p>
    <w:p w:rsidR="00114C5C" w:rsidRDefault="00114C5C" w:rsidP="008928B0">
      <w:pPr>
        <w:spacing w:after="0"/>
        <w:ind w:left="709" w:hanging="709"/>
        <w:jc w:val="both"/>
      </w:pPr>
    </w:p>
    <w:p w:rsidR="00114C5C" w:rsidRPr="00D8286E" w:rsidRDefault="0058132F" w:rsidP="008928B0">
      <w:pPr>
        <w:spacing w:after="0"/>
        <w:ind w:left="709" w:hanging="709"/>
        <w:jc w:val="both"/>
        <w:rPr>
          <w:b/>
        </w:rPr>
      </w:pPr>
      <w:bookmarkStart w:id="0" w:name="_GoBack"/>
      <w:bookmarkEnd w:id="0"/>
      <w:r w:rsidRPr="00D8286E">
        <w:rPr>
          <w:b/>
        </w:rPr>
        <w:t>Literatura uzupełniająca</w:t>
      </w:r>
    </w:p>
    <w:p w:rsidR="0058132F" w:rsidRDefault="0058132F" w:rsidP="008928B0">
      <w:pPr>
        <w:spacing w:after="0"/>
        <w:ind w:left="709" w:hanging="709"/>
        <w:jc w:val="both"/>
      </w:pPr>
      <w:r>
        <w:t>Biały Z., Żarnecka- Biały E</w:t>
      </w:r>
      <w:r w:rsidRPr="00114C5C">
        <w:rPr>
          <w:i/>
        </w:rPr>
        <w:t>., Z zagadnień wersyfikacji w terenowych badaniach etnograficznych</w:t>
      </w:r>
      <w:r>
        <w:t xml:space="preserve">, „Zeszyty Naukowe UJ. Prace Etnograficzne” 1963, z.1, s. 9- 82; </w:t>
      </w:r>
    </w:p>
    <w:p w:rsidR="0058132F" w:rsidRDefault="0058132F" w:rsidP="008928B0">
      <w:pPr>
        <w:spacing w:after="0"/>
        <w:ind w:left="709" w:hanging="709"/>
        <w:jc w:val="both"/>
      </w:pPr>
      <w:r>
        <w:t>Clifford J</w:t>
      </w:r>
      <w:r w:rsidRPr="00114C5C">
        <w:rPr>
          <w:i/>
        </w:rPr>
        <w:t>., Kłopoty z kulturą,</w:t>
      </w:r>
      <w:r>
        <w:t xml:space="preserve"> Warszawa 2000;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>
        <w:t xml:space="preserve"> </w:t>
      </w:r>
      <w:r w:rsidRPr="00486911">
        <w:rPr>
          <w:lang w:val="en-US"/>
        </w:rPr>
        <w:t>Goodenough W</w:t>
      </w:r>
      <w:r w:rsidRPr="00486911">
        <w:rPr>
          <w:i/>
          <w:lang w:val="en-US"/>
        </w:rPr>
        <w:t>., Description and Comparison in Cultural Anthropology</w:t>
      </w:r>
      <w:r w:rsidRPr="00486911">
        <w:rPr>
          <w:lang w:val="en-US"/>
        </w:rPr>
        <w:t>, Chicago 1970;</w:t>
      </w:r>
    </w:p>
    <w:p w:rsidR="0058132F" w:rsidRDefault="0058132F" w:rsidP="008928B0">
      <w:pPr>
        <w:spacing w:after="0"/>
        <w:ind w:left="709" w:hanging="709"/>
        <w:jc w:val="both"/>
      </w:pPr>
      <w:r w:rsidRPr="00486911">
        <w:rPr>
          <w:lang w:val="en-US"/>
        </w:rPr>
        <w:t xml:space="preserve"> </w:t>
      </w:r>
      <w:r>
        <w:t xml:space="preserve">Kaniowska K., </w:t>
      </w:r>
      <w:r w:rsidRPr="00114C5C">
        <w:rPr>
          <w:i/>
        </w:rPr>
        <w:t>Problem opisu w etnologii</w:t>
      </w:r>
      <w:r>
        <w:t xml:space="preserve">, [w:] </w:t>
      </w:r>
      <w:r w:rsidRPr="00114C5C">
        <w:rPr>
          <w:i/>
        </w:rPr>
        <w:t>Pożegnanie paradygmatu. Etnologia wobec współczesności,</w:t>
      </w:r>
      <w:r>
        <w:t xml:space="preserve"> red. W.J. Burszta, J. </w:t>
      </w:r>
      <w:proofErr w:type="spellStart"/>
      <w:r>
        <w:t>Damrosz</w:t>
      </w:r>
      <w:proofErr w:type="spellEnd"/>
      <w:r>
        <w:t xml:space="preserve">, Warszawa 1994, s.55- 77; </w:t>
      </w:r>
    </w:p>
    <w:p w:rsidR="0058132F" w:rsidRDefault="0058132F" w:rsidP="008928B0">
      <w:pPr>
        <w:spacing w:after="0"/>
        <w:ind w:left="709" w:hanging="709"/>
        <w:jc w:val="both"/>
      </w:pPr>
      <w:r>
        <w:t>Kopczyńska - Jaworska B</w:t>
      </w:r>
      <w:r w:rsidRPr="00114C5C">
        <w:rPr>
          <w:i/>
        </w:rPr>
        <w:t>., Metodyka etnograficznych badań terenowych</w:t>
      </w:r>
      <w:r>
        <w:t>, Warszawa 1971,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Kostera M, </w:t>
      </w:r>
      <w:r w:rsidRPr="00114C5C">
        <w:rPr>
          <w:i/>
        </w:rPr>
        <w:t>Antropologia organizacji. Metodologia badań terenowych</w:t>
      </w:r>
      <w:r>
        <w:t>, Warszawa 2003,</w:t>
      </w:r>
    </w:p>
    <w:p w:rsidR="0058132F" w:rsidRDefault="0058132F" w:rsidP="008928B0">
      <w:pPr>
        <w:spacing w:after="0"/>
        <w:ind w:left="709" w:hanging="709"/>
        <w:jc w:val="both"/>
      </w:pPr>
      <w:r>
        <w:t xml:space="preserve"> Lutyńska K., </w:t>
      </w:r>
      <w:r w:rsidRPr="00114C5C">
        <w:rPr>
          <w:i/>
        </w:rPr>
        <w:t>Wywiad kwestionariuszowy. Przygotowanie i sprawdzenie narzędzia badawczego</w:t>
      </w:r>
      <w:r>
        <w:t>, Wrocław 1984,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 xml:space="preserve">Moore H. L., ed. </w:t>
      </w:r>
      <w:r w:rsidRPr="00486911">
        <w:rPr>
          <w:i/>
          <w:lang w:val="en-US"/>
        </w:rPr>
        <w:t>The Future Of Anthropological Knowledge</w:t>
      </w:r>
      <w:r w:rsidRPr="00486911">
        <w:rPr>
          <w:lang w:val="en-US"/>
        </w:rPr>
        <w:t xml:space="preserve">, London 1996; </w:t>
      </w:r>
    </w:p>
    <w:p w:rsidR="0058132F" w:rsidRPr="00486911" w:rsidRDefault="0058132F" w:rsidP="008928B0">
      <w:pPr>
        <w:spacing w:after="0"/>
        <w:ind w:left="709" w:hanging="709"/>
        <w:jc w:val="both"/>
        <w:rPr>
          <w:lang w:val="en-US"/>
        </w:rPr>
      </w:pPr>
      <w:r w:rsidRPr="00486911">
        <w:rPr>
          <w:lang w:val="en-US"/>
        </w:rPr>
        <w:t>Moore H. L., ed</w:t>
      </w:r>
      <w:r w:rsidRPr="00486911">
        <w:rPr>
          <w:i/>
          <w:lang w:val="en-US"/>
        </w:rPr>
        <w:t>. Anthropological Theory Today</w:t>
      </w:r>
      <w:r w:rsidRPr="00486911">
        <w:rPr>
          <w:lang w:val="en-US"/>
        </w:rPr>
        <w:t xml:space="preserve">, Cambridge 2003; </w:t>
      </w:r>
    </w:p>
    <w:p w:rsidR="0058132F" w:rsidRDefault="0058132F" w:rsidP="008928B0">
      <w:pPr>
        <w:spacing w:after="0"/>
        <w:ind w:left="709" w:hanging="709"/>
        <w:jc w:val="both"/>
      </w:pPr>
      <w:proofErr w:type="spellStart"/>
      <w:r>
        <w:t>Robotycki</w:t>
      </w:r>
      <w:proofErr w:type="spellEnd"/>
      <w:r>
        <w:t xml:space="preserve"> Cz., </w:t>
      </w:r>
      <w:r w:rsidRPr="00114C5C">
        <w:rPr>
          <w:i/>
        </w:rPr>
        <w:t>Jak opisać społeczność lokalną – przykład Wojnicza</w:t>
      </w:r>
      <w:r>
        <w:t xml:space="preserve">, [w:] </w:t>
      </w:r>
      <w:r w:rsidRPr="00114C5C">
        <w:rPr>
          <w:i/>
        </w:rPr>
        <w:t>Wobec kultury. Problemy antropologa</w:t>
      </w:r>
      <w:r>
        <w:t xml:space="preserve">, red. G. E. Karpińska, „Łódzkie Studia Etnograficzne” 1996, t. XXXV s.23- 30; </w:t>
      </w:r>
    </w:p>
    <w:p w:rsidR="0058132F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t>Robotycki</w:t>
      </w:r>
      <w:proofErr w:type="spellEnd"/>
      <w:r>
        <w:t xml:space="preserve"> Cz</w:t>
      </w:r>
      <w:r w:rsidRPr="00114C5C">
        <w:rPr>
          <w:i/>
        </w:rPr>
        <w:t>., O banalizacji tekstów w etnografii</w:t>
      </w:r>
      <w:r>
        <w:t xml:space="preserve">, [w:] </w:t>
      </w:r>
      <w:r w:rsidRPr="00114C5C">
        <w:rPr>
          <w:i/>
        </w:rPr>
        <w:t>Etnologia polska między ludoznawstwem a antropologia</w:t>
      </w:r>
      <w:r>
        <w:t>, red. A. Posern - Zieliński, Poznań 1995, s. 83-87</w:t>
      </w:r>
    </w:p>
    <w:p w:rsidR="0058132F" w:rsidRPr="008928B0" w:rsidRDefault="0058132F" w:rsidP="008928B0">
      <w:pPr>
        <w:spacing w:after="0"/>
        <w:ind w:left="709" w:hanging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28B0" w:rsidRPr="002412E3" w:rsidRDefault="008928B0" w:rsidP="00892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8928B0" w:rsidRDefault="0058132F" w:rsidP="0089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przedstawienie kolejnych  rozdziałów pracy magisterskiej, udział w dyskusji nad przedstawionymi  tekstami</w:t>
      </w:r>
    </w:p>
    <w:p w:rsidR="0058132F" w:rsidRPr="0058132F" w:rsidRDefault="0058132F" w:rsidP="005813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pracy magisterskiej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spełniając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8132F">
        <w:rPr>
          <w:rFonts w:ascii="Times New Roman" w:hAnsi="Times New Roman" w:cs="Times New Roman"/>
          <w:sz w:val="24"/>
          <w:szCs w:val="24"/>
        </w:rPr>
        <w:t xml:space="preserve"> kryteria metodologiczne, merytoryczne, stylistyczne</w:t>
      </w:r>
    </w:p>
    <w:p w:rsidR="008928B0" w:rsidRDefault="008928B0" w:rsidP="0058132F">
      <w:pPr>
        <w:pStyle w:val="Akapitzlist"/>
        <w:spacing w:after="0"/>
        <w:jc w:val="both"/>
      </w:pPr>
    </w:p>
    <w:sectPr w:rsidR="008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0"/>
    <w:rsid w:val="00114C5C"/>
    <w:rsid w:val="0022227C"/>
    <w:rsid w:val="00486911"/>
    <w:rsid w:val="0058132F"/>
    <w:rsid w:val="008928B0"/>
    <w:rsid w:val="0096194D"/>
    <w:rsid w:val="00AF1578"/>
    <w:rsid w:val="00D8286E"/>
    <w:rsid w:val="00E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B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3</cp:revision>
  <dcterms:created xsi:type="dcterms:W3CDTF">2019-05-20T13:52:00Z</dcterms:created>
  <dcterms:modified xsi:type="dcterms:W3CDTF">2019-05-20T13:53:00Z</dcterms:modified>
</cp:coreProperties>
</file>